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3D197" w14:textId="77777777" w:rsidR="00A61E8D" w:rsidRDefault="00A61E8D" w:rsidP="00A61E8D">
      <w:pPr>
        <w:jc w:val="center"/>
        <w:rPr>
          <w:b/>
          <w:bCs/>
        </w:rPr>
      </w:pPr>
      <w:r>
        <w:rPr>
          <w:b/>
          <w:bCs/>
        </w:rPr>
        <w:t>KLAUZULA INFORMACYJNA</w:t>
      </w:r>
    </w:p>
    <w:p w14:paraId="743C48F9" w14:textId="77777777" w:rsidR="00A61E8D" w:rsidRDefault="00A61E8D" w:rsidP="00A61E8D">
      <w:pPr>
        <w:jc w:val="both"/>
        <w:rPr>
          <w:b/>
          <w:bCs/>
          <w:sz w:val="20"/>
        </w:rPr>
      </w:pPr>
      <w:r>
        <w:rPr>
          <w:b/>
          <w:bCs/>
          <w:sz w:val="20"/>
        </w:rPr>
        <w:t>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informujemy, że: </w:t>
      </w:r>
    </w:p>
    <w:p w14:paraId="47C85E5C" w14:textId="77777777" w:rsidR="00A61E8D" w:rsidRDefault="00A61E8D" w:rsidP="00A61E8D">
      <w:pPr>
        <w:numPr>
          <w:ilvl w:val="0"/>
          <w:numId w:val="1"/>
        </w:numPr>
        <w:jc w:val="both"/>
        <w:rPr>
          <w:sz w:val="20"/>
        </w:rPr>
      </w:pPr>
      <w:r>
        <w:rPr>
          <w:sz w:val="20"/>
        </w:rPr>
        <w:t>Administratorem Pana/Pani danych osobowych jest Powiatowy Urząd Pracy w Kluczborku z siedzibą przy ul. Sienkiewicza 22B, 46-200 Kluczbork reprezentowany przez Dyrektora Urzędu. Może się Pan/Pani z nim skontaktować drogą elektroniczną na adres e-mail opkl@praca.gov.pl , telefonicznie pod numerem 77 447 13 35 lub tradycyjną pocztą na adres wskazany powyżej.</w:t>
      </w:r>
    </w:p>
    <w:p w14:paraId="6CD8CA75" w14:textId="77777777" w:rsidR="00A61E8D" w:rsidRDefault="00A61E8D" w:rsidP="00A61E8D">
      <w:pPr>
        <w:numPr>
          <w:ilvl w:val="0"/>
          <w:numId w:val="1"/>
        </w:numPr>
        <w:jc w:val="both"/>
        <w:rPr>
          <w:sz w:val="20"/>
        </w:rPr>
      </w:pPr>
      <w:r>
        <w:rPr>
          <w:sz w:val="20"/>
        </w:rPr>
        <w:t>W sprawach związanych z Pana/Pani danymi proszę kontaktować się z Inspektorem Ochrony Danych pod adresem e-mail  iod@pupkluczbork.pl ,</w:t>
      </w:r>
    </w:p>
    <w:p w14:paraId="53DBDEF1" w14:textId="77777777" w:rsidR="00A61E8D" w:rsidRDefault="00A61E8D" w:rsidP="00A61E8D">
      <w:pPr>
        <w:numPr>
          <w:ilvl w:val="0"/>
          <w:numId w:val="1"/>
        </w:numPr>
        <w:jc w:val="both"/>
        <w:rPr>
          <w:sz w:val="20"/>
        </w:rPr>
      </w:pPr>
      <w:r>
        <w:rPr>
          <w:sz w:val="20"/>
        </w:rPr>
        <w:t>Cel przetwarzania, podstawę prawną oraz okres przechowywania danych osobowych przedstawia tabela:</w:t>
      </w:r>
    </w:p>
    <w:tbl>
      <w:tblPr>
        <w:tblW w:w="9030" w:type="dxa"/>
        <w:tblInd w:w="-6" w:type="dxa"/>
        <w:tblLayout w:type="fixed"/>
        <w:tblCellMar>
          <w:top w:w="15" w:type="dxa"/>
          <w:left w:w="0" w:type="dxa"/>
          <w:bottom w:w="15" w:type="dxa"/>
          <w:right w:w="15" w:type="dxa"/>
        </w:tblCellMar>
        <w:tblLook w:val="04A0" w:firstRow="1" w:lastRow="0" w:firstColumn="1" w:lastColumn="0" w:noHBand="0" w:noVBand="1"/>
      </w:tblPr>
      <w:tblGrid>
        <w:gridCol w:w="2865"/>
        <w:gridCol w:w="3907"/>
        <w:gridCol w:w="2258"/>
      </w:tblGrid>
      <w:tr w:rsidR="00A61E8D" w14:paraId="31624AF1" w14:textId="77777777" w:rsidTr="00CC7F6B">
        <w:trPr>
          <w:trHeight w:val="476"/>
        </w:trPr>
        <w:tc>
          <w:tcPr>
            <w:tcW w:w="2865" w:type="dxa"/>
            <w:tcBorders>
              <w:top w:val="outset" w:sz="2" w:space="0" w:color="00000A"/>
              <w:left w:val="outset" w:sz="2" w:space="0" w:color="00000A"/>
              <w:bottom w:val="outset" w:sz="2" w:space="0" w:color="00000A"/>
              <w:right w:val="outset" w:sz="2" w:space="0" w:color="00000A"/>
            </w:tcBorders>
            <w:vAlign w:val="center"/>
          </w:tcPr>
          <w:p w14:paraId="3504A7E1" w14:textId="77777777" w:rsidR="00A61E8D" w:rsidRDefault="00A61E8D" w:rsidP="00CC7F6B">
            <w:r>
              <w:rPr>
                <w:b/>
                <w:bCs/>
                <w:sz w:val="20"/>
              </w:rPr>
              <w:t>Cel przetwarzania</w:t>
            </w:r>
          </w:p>
        </w:tc>
        <w:tc>
          <w:tcPr>
            <w:tcW w:w="3907" w:type="dxa"/>
            <w:tcBorders>
              <w:top w:val="outset" w:sz="2" w:space="0" w:color="00000A"/>
              <w:left w:val="outset" w:sz="2" w:space="0" w:color="00000A"/>
              <w:bottom w:val="outset" w:sz="2" w:space="0" w:color="00000A"/>
              <w:right w:val="outset" w:sz="2" w:space="0" w:color="00000A"/>
            </w:tcBorders>
            <w:vAlign w:val="center"/>
          </w:tcPr>
          <w:p w14:paraId="0EA944E6" w14:textId="77777777" w:rsidR="00A61E8D" w:rsidRDefault="00A61E8D" w:rsidP="00CC7F6B">
            <w:r>
              <w:rPr>
                <w:b/>
                <w:bCs/>
                <w:sz w:val="20"/>
              </w:rPr>
              <w:t>Podstawa prawna przetwarzania</w:t>
            </w:r>
          </w:p>
        </w:tc>
        <w:tc>
          <w:tcPr>
            <w:tcW w:w="2258" w:type="dxa"/>
            <w:tcBorders>
              <w:top w:val="outset" w:sz="2" w:space="0" w:color="00000A"/>
              <w:left w:val="outset" w:sz="2" w:space="0" w:color="00000A"/>
              <w:bottom w:val="outset" w:sz="2" w:space="0" w:color="00000A"/>
              <w:right w:val="outset" w:sz="2" w:space="0" w:color="00000A"/>
            </w:tcBorders>
          </w:tcPr>
          <w:p w14:paraId="0EC4DD16" w14:textId="77777777" w:rsidR="00A61E8D" w:rsidRDefault="00A61E8D" w:rsidP="00CC7F6B">
            <w:r>
              <w:rPr>
                <w:b/>
                <w:bCs/>
                <w:sz w:val="20"/>
              </w:rPr>
              <w:t>Okres przechowywania danych</w:t>
            </w:r>
          </w:p>
        </w:tc>
      </w:tr>
      <w:tr w:rsidR="00A61E8D" w14:paraId="78D4C070" w14:textId="77777777" w:rsidTr="00CC7F6B">
        <w:trPr>
          <w:trHeight w:val="5009"/>
        </w:trPr>
        <w:tc>
          <w:tcPr>
            <w:tcW w:w="2865" w:type="dxa"/>
            <w:tcBorders>
              <w:top w:val="outset" w:sz="2" w:space="0" w:color="00000A"/>
              <w:left w:val="outset" w:sz="2" w:space="0" w:color="00000A"/>
              <w:bottom w:val="outset" w:sz="2" w:space="0" w:color="00000A"/>
              <w:right w:val="outset" w:sz="2" w:space="0" w:color="00000A"/>
            </w:tcBorders>
            <w:vAlign w:val="center"/>
          </w:tcPr>
          <w:p w14:paraId="22E1D100" w14:textId="77777777" w:rsidR="00A61E8D" w:rsidRDefault="00A61E8D" w:rsidP="00CC7F6B">
            <w:pPr>
              <w:rPr>
                <w:sz w:val="20"/>
              </w:rPr>
            </w:pPr>
            <w:r>
              <w:rPr>
                <w:sz w:val="20"/>
              </w:rPr>
              <w:t xml:space="preserve">Rejestracja osób bezrobotnych </w:t>
            </w:r>
            <w:r>
              <w:rPr>
                <w:sz w:val="20"/>
              </w:rPr>
              <w:br/>
              <w:t xml:space="preserve">i poszukujących pracy, wypłacanie przyznanych świadczeń, zgłaszanie do ubezpieczeń osób bezrobotnych </w:t>
            </w:r>
            <w:r>
              <w:rPr>
                <w:sz w:val="20"/>
              </w:rPr>
              <w:br/>
              <w:t xml:space="preserve">i członków rodziny, wyrejestrowanie </w:t>
            </w:r>
            <w:r>
              <w:rPr>
                <w:sz w:val="20"/>
              </w:rPr>
              <w:br/>
              <w:t>z ewidencji urzędu, świadczenie usług rynku pracy tj. pośrednictwo pracy, poradnictwo zawodowe, organizacja szkoleń oraz możliwość skierowania do udziału np. w stażu, pracach interwencyjnych lub innych instrumentach rynku pracy w zależności od ustalonego profilu pomocy</w:t>
            </w:r>
          </w:p>
        </w:tc>
        <w:tc>
          <w:tcPr>
            <w:tcW w:w="3907" w:type="dxa"/>
            <w:tcBorders>
              <w:top w:val="outset" w:sz="2" w:space="0" w:color="00000A"/>
              <w:left w:val="outset" w:sz="2" w:space="0" w:color="00000A"/>
              <w:bottom w:val="outset" w:sz="2" w:space="0" w:color="00000A"/>
              <w:right w:val="outset" w:sz="2" w:space="0" w:color="00000A"/>
            </w:tcBorders>
            <w:vAlign w:val="center"/>
          </w:tcPr>
          <w:p w14:paraId="4C1BB17C" w14:textId="77777777" w:rsidR="00A61E8D" w:rsidRDefault="00A61E8D" w:rsidP="00A61E8D">
            <w:pPr>
              <w:numPr>
                <w:ilvl w:val="0"/>
                <w:numId w:val="2"/>
              </w:numPr>
              <w:rPr>
                <w:sz w:val="20"/>
              </w:rPr>
            </w:pPr>
            <w:r>
              <w:rPr>
                <w:sz w:val="20"/>
              </w:rPr>
              <w:t xml:space="preserve">Ustawa z dnia 20 kwietnia 2004r. </w:t>
            </w:r>
            <w:r>
              <w:rPr>
                <w:sz w:val="20"/>
              </w:rPr>
              <w:br/>
              <w:t>o promocji zatrudnienia i instytucjach rynku pracy</w:t>
            </w:r>
          </w:p>
          <w:p w14:paraId="5D74BCA2" w14:textId="77777777" w:rsidR="00A61E8D" w:rsidRDefault="00A61E8D" w:rsidP="00A61E8D">
            <w:pPr>
              <w:numPr>
                <w:ilvl w:val="0"/>
                <w:numId w:val="2"/>
              </w:numPr>
              <w:rPr>
                <w:sz w:val="20"/>
              </w:rPr>
            </w:pPr>
            <w:r>
              <w:rPr>
                <w:sz w:val="20"/>
              </w:rPr>
              <w:t xml:space="preserve">Ustawa z dnia 13 października 1998r. </w:t>
            </w:r>
            <w:r>
              <w:rPr>
                <w:sz w:val="20"/>
              </w:rPr>
              <w:br/>
              <w:t>o systemie ubezpieczeń społecznych</w:t>
            </w:r>
          </w:p>
          <w:p w14:paraId="627583D7" w14:textId="77777777" w:rsidR="00A61E8D" w:rsidRDefault="00A61E8D" w:rsidP="00A61E8D">
            <w:pPr>
              <w:numPr>
                <w:ilvl w:val="0"/>
                <w:numId w:val="2"/>
              </w:numPr>
              <w:rPr>
                <w:sz w:val="20"/>
              </w:rPr>
            </w:pPr>
            <w:r>
              <w:rPr>
                <w:sz w:val="20"/>
              </w:rPr>
              <w:t xml:space="preserve">Ustawa z dnia 27 sierpnia 2004r. </w:t>
            </w:r>
            <w:r>
              <w:rPr>
                <w:sz w:val="20"/>
              </w:rPr>
              <w:br/>
              <w:t>o świadczeniach opieki zdrowotnej finansowanych ze środków publicznych</w:t>
            </w:r>
          </w:p>
          <w:p w14:paraId="514FCC03" w14:textId="77777777" w:rsidR="00A61E8D" w:rsidRDefault="00A61E8D" w:rsidP="00A61E8D">
            <w:pPr>
              <w:numPr>
                <w:ilvl w:val="0"/>
                <w:numId w:val="2"/>
              </w:numPr>
            </w:pPr>
            <w:r>
              <w:rPr>
                <w:sz w:val="20"/>
              </w:rPr>
              <w:t xml:space="preserve">Ustawa </w:t>
            </w:r>
            <w:r>
              <w:rPr>
                <w:i/>
                <w:iCs/>
                <w:sz w:val="20"/>
              </w:rPr>
              <w:t>z dnia 14 czerwca 1960r. Kodeks postępowania administracyjnego</w:t>
            </w:r>
          </w:p>
          <w:p w14:paraId="7D52610F" w14:textId="77777777" w:rsidR="00A61E8D" w:rsidRDefault="00A61E8D" w:rsidP="00A61E8D">
            <w:pPr>
              <w:numPr>
                <w:ilvl w:val="0"/>
                <w:numId w:val="2"/>
              </w:numPr>
            </w:pPr>
            <w:r>
              <w:rPr>
                <w:i/>
                <w:iCs/>
                <w:sz w:val="20"/>
              </w:rPr>
              <w:t>Ustawa z dnia 29 sierpnia 1997r. Ordynacja podatkowa</w:t>
            </w:r>
          </w:p>
          <w:p w14:paraId="5C6271B6" w14:textId="77777777" w:rsidR="00A61E8D" w:rsidRDefault="00A61E8D" w:rsidP="00A61E8D">
            <w:pPr>
              <w:numPr>
                <w:ilvl w:val="0"/>
                <w:numId w:val="2"/>
              </w:numPr>
            </w:pPr>
            <w:r>
              <w:rPr>
                <w:i/>
                <w:iCs/>
                <w:sz w:val="20"/>
              </w:rPr>
              <w:t>Ustawa z dnia 26 lipca 1991r. o podatku dochodowym od osób fizycznych</w:t>
            </w:r>
          </w:p>
        </w:tc>
        <w:tc>
          <w:tcPr>
            <w:tcW w:w="2258" w:type="dxa"/>
            <w:tcBorders>
              <w:top w:val="outset" w:sz="2" w:space="0" w:color="00000A"/>
              <w:left w:val="outset" w:sz="2" w:space="0" w:color="00000A"/>
              <w:bottom w:val="outset" w:sz="2" w:space="0" w:color="00000A"/>
              <w:right w:val="outset" w:sz="2" w:space="0" w:color="00000A"/>
            </w:tcBorders>
          </w:tcPr>
          <w:p w14:paraId="47B1374C" w14:textId="77777777" w:rsidR="00A61E8D" w:rsidRDefault="00A61E8D" w:rsidP="00CC7F6B">
            <w:pPr>
              <w:rPr>
                <w:sz w:val="20"/>
              </w:rPr>
            </w:pPr>
            <w:r>
              <w:rPr>
                <w:sz w:val="20"/>
              </w:rPr>
              <w:t> </w:t>
            </w:r>
          </w:p>
          <w:p w14:paraId="74A332D3" w14:textId="77777777" w:rsidR="00A61E8D" w:rsidRDefault="00A61E8D" w:rsidP="00CC7F6B">
            <w:pPr>
              <w:rPr>
                <w:sz w:val="20"/>
              </w:rPr>
            </w:pPr>
            <w:r>
              <w:rPr>
                <w:sz w:val="20"/>
              </w:rPr>
              <w:t> </w:t>
            </w:r>
          </w:p>
          <w:p w14:paraId="33E1CF26" w14:textId="77777777" w:rsidR="00A61E8D" w:rsidRDefault="00A61E8D" w:rsidP="00CC7F6B">
            <w:pPr>
              <w:rPr>
                <w:sz w:val="20"/>
              </w:rPr>
            </w:pPr>
            <w:r>
              <w:rPr>
                <w:sz w:val="20"/>
              </w:rPr>
              <w:t xml:space="preserve">do 50 lat w zależności od kategorii sprawy (Ustawa z dnia 14 lipca 1983 r. o narodowym zasobie archiwalnym </w:t>
            </w:r>
            <w:r>
              <w:rPr>
                <w:sz w:val="20"/>
              </w:rPr>
              <w:br/>
              <w:t>i archiwach) zgodnie z Jednolitym Rzeczowym Wykazem Akt</w:t>
            </w:r>
          </w:p>
        </w:tc>
      </w:tr>
      <w:tr w:rsidR="00A61E8D" w14:paraId="5BC8A83D" w14:textId="77777777" w:rsidTr="00CC7F6B">
        <w:tc>
          <w:tcPr>
            <w:tcW w:w="2865" w:type="dxa"/>
            <w:tcBorders>
              <w:top w:val="outset" w:sz="2" w:space="0" w:color="00000A"/>
              <w:left w:val="outset" w:sz="2" w:space="0" w:color="00000A"/>
              <w:bottom w:val="outset" w:sz="2" w:space="0" w:color="00000A"/>
              <w:right w:val="outset" w:sz="2" w:space="0" w:color="00000A"/>
            </w:tcBorders>
            <w:vAlign w:val="center"/>
          </w:tcPr>
          <w:p w14:paraId="14E78E83" w14:textId="77777777" w:rsidR="00A61E8D" w:rsidRDefault="00A61E8D" w:rsidP="00CC7F6B">
            <w:pPr>
              <w:rPr>
                <w:sz w:val="20"/>
              </w:rPr>
            </w:pPr>
            <w:r>
              <w:rPr>
                <w:sz w:val="20"/>
              </w:rPr>
              <w:t xml:space="preserve">Przeprowadzenie postępowania </w:t>
            </w:r>
            <w:r>
              <w:rPr>
                <w:sz w:val="20"/>
              </w:rPr>
              <w:br/>
              <w:t>o udzielenie zamówienia publicznego, zawarcie umowy i jej realizacja oraz dokonanie płatności za wykonane zamówienie publiczne (dostawy/usługi/roboty budowlane) w ramach umów cywilno-prawnych</w:t>
            </w:r>
          </w:p>
        </w:tc>
        <w:tc>
          <w:tcPr>
            <w:tcW w:w="3907" w:type="dxa"/>
            <w:tcBorders>
              <w:top w:val="outset" w:sz="2" w:space="0" w:color="00000A"/>
              <w:left w:val="outset" w:sz="2" w:space="0" w:color="00000A"/>
              <w:bottom w:val="outset" w:sz="2" w:space="0" w:color="00000A"/>
              <w:right w:val="outset" w:sz="2" w:space="0" w:color="00000A"/>
            </w:tcBorders>
            <w:vAlign w:val="center"/>
          </w:tcPr>
          <w:p w14:paraId="1252FAF4" w14:textId="77777777" w:rsidR="00A61E8D" w:rsidRDefault="00A61E8D" w:rsidP="00A61E8D">
            <w:pPr>
              <w:numPr>
                <w:ilvl w:val="0"/>
                <w:numId w:val="3"/>
              </w:numPr>
              <w:rPr>
                <w:sz w:val="20"/>
              </w:rPr>
            </w:pPr>
            <w:r>
              <w:rPr>
                <w:sz w:val="20"/>
              </w:rPr>
              <w:t>Ustawa z dnia 29 stycznia 2004r. – Prawo zamówień publicznych</w:t>
            </w:r>
          </w:p>
          <w:p w14:paraId="1472216F" w14:textId="77777777" w:rsidR="00A61E8D" w:rsidRDefault="00A61E8D" w:rsidP="00A61E8D">
            <w:pPr>
              <w:numPr>
                <w:ilvl w:val="0"/>
                <w:numId w:val="3"/>
              </w:numPr>
              <w:rPr>
                <w:sz w:val="20"/>
              </w:rPr>
            </w:pPr>
            <w:r>
              <w:rPr>
                <w:sz w:val="20"/>
              </w:rPr>
              <w:t xml:space="preserve">Ustawa z dnia 27 sierpnia 2009r. </w:t>
            </w:r>
            <w:r>
              <w:rPr>
                <w:sz w:val="20"/>
              </w:rPr>
              <w:br/>
              <w:t>o finansach publicznych</w:t>
            </w:r>
          </w:p>
          <w:p w14:paraId="79795B0A" w14:textId="77777777" w:rsidR="00A61E8D" w:rsidRDefault="00A61E8D" w:rsidP="00A61E8D">
            <w:pPr>
              <w:numPr>
                <w:ilvl w:val="0"/>
                <w:numId w:val="3"/>
              </w:numPr>
              <w:rPr>
                <w:sz w:val="20"/>
              </w:rPr>
            </w:pPr>
            <w:r>
              <w:rPr>
                <w:sz w:val="20"/>
              </w:rPr>
              <w:t>Ustawa z dnia 23 kwietnia 1964r. Kodeks cywilny</w:t>
            </w:r>
          </w:p>
          <w:p w14:paraId="3FA685EB" w14:textId="77777777" w:rsidR="00A61E8D" w:rsidRDefault="00A61E8D" w:rsidP="00A61E8D">
            <w:pPr>
              <w:numPr>
                <w:ilvl w:val="0"/>
                <w:numId w:val="3"/>
              </w:numPr>
              <w:rPr>
                <w:sz w:val="20"/>
              </w:rPr>
            </w:pPr>
            <w:r>
              <w:rPr>
                <w:sz w:val="20"/>
              </w:rPr>
              <w:t xml:space="preserve">Ustawa z dnia 29 września 1994r. </w:t>
            </w:r>
            <w:r>
              <w:rPr>
                <w:sz w:val="20"/>
              </w:rPr>
              <w:br/>
              <w:t>o rachunkowości</w:t>
            </w:r>
          </w:p>
        </w:tc>
        <w:tc>
          <w:tcPr>
            <w:tcW w:w="2258" w:type="dxa"/>
            <w:tcBorders>
              <w:top w:val="outset" w:sz="2" w:space="0" w:color="00000A"/>
              <w:left w:val="outset" w:sz="2" w:space="0" w:color="00000A"/>
              <w:bottom w:val="outset" w:sz="2" w:space="0" w:color="00000A"/>
              <w:right w:val="outset" w:sz="2" w:space="0" w:color="00000A"/>
            </w:tcBorders>
          </w:tcPr>
          <w:p w14:paraId="726C68CD" w14:textId="77777777" w:rsidR="00A61E8D" w:rsidRDefault="00A61E8D" w:rsidP="00CC7F6B">
            <w:pPr>
              <w:rPr>
                <w:sz w:val="20"/>
              </w:rPr>
            </w:pPr>
            <w:r>
              <w:rPr>
                <w:sz w:val="20"/>
              </w:rPr>
              <w:t> </w:t>
            </w:r>
          </w:p>
          <w:p w14:paraId="43FD77E9" w14:textId="77777777" w:rsidR="00A61E8D" w:rsidRDefault="00A61E8D" w:rsidP="00CC7F6B">
            <w:pPr>
              <w:rPr>
                <w:sz w:val="20"/>
              </w:rPr>
            </w:pPr>
            <w:r>
              <w:rPr>
                <w:sz w:val="20"/>
              </w:rPr>
              <w:t> </w:t>
            </w:r>
          </w:p>
          <w:p w14:paraId="6DEDEDCC" w14:textId="77777777" w:rsidR="00A61E8D" w:rsidRDefault="00A61E8D" w:rsidP="00CC7F6B">
            <w:pPr>
              <w:rPr>
                <w:sz w:val="20"/>
              </w:rPr>
            </w:pPr>
            <w:r>
              <w:rPr>
                <w:sz w:val="20"/>
              </w:rPr>
              <w:t>5 lat</w:t>
            </w:r>
          </w:p>
        </w:tc>
      </w:tr>
      <w:tr w:rsidR="00A61E8D" w14:paraId="3D92ECAC" w14:textId="77777777" w:rsidTr="00CC7F6B">
        <w:tc>
          <w:tcPr>
            <w:tcW w:w="2865" w:type="dxa"/>
            <w:tcBorders>
              <w:top w:val="outset" w:sz="2" w:space="0" w:color="00000A"/>
              <w:left w:val="outset" w:sz="2" w:space="0" w:color="00000A"/>
              <w:bottom w:val="outset" w:sz="2" w:space="0" w:color="00000A"/>
              <w:right w:val="outset" w:sz="2" w:space="0" w:color="00000A"/>
            </w:tcBorders>
            <w:vAlign w:val="center"/>
          </w:tcPr>
          <w:p w14:paraId="3BEB1330" w14:textId="77777777" w:rsidR="00A61E8D" w:rsidRDefault="00A61E8D" w:rsidP="00CC7F6B">
            <w:pPr>
              <w:rPr>
                <w:sz w:val="20"/>
              </w:rPr>
            </w:pPr>
            <w:r>
              <w:rPr>
                <w:sz w:val="20"/>
              </w:rPr>
              <w:t>Zatrudnienie pracowników, wypłacanie wynagrodzenia, zgłaszanie do ubezpieczeń pracowników i członków rodzin, wypłacanie świadczeń socjalnych</w:t>
            </w:r>
          </w:p>
        </w:tc>
        <w:tc>
          <w:tcPr>
            <w:tcW w:w="3907" w:type="dxa"/>
            <w:tcBorders>
              <w:top w:val="outset" w:sz="2" w:space="0" w:color="00000A"/>
              <w:left w:val="outset" w:sz="2" w:space="0" w:color="00000A"/>
              <w:bottom w:val="outset" w:sz="2" w:space="0" w:color="00000A"/>
              <w:right w:val="outset" w:sz="2" w:space="0" w:color="00000A"/>
            </w:tcBorders>
            <w:vAlign w:val="center"/>
          </w:tcPr>
          <w:p w14:paraId="444BE8E9" w14:textId="77777777" w:rsidR="00A61E8D" w:rsidRDefault="00A61E8D" w:rsidP="00A61E8D">
            <w:pPr>
              <w:numPr>
                <w:ilvl w:val="0"/>
                <w:numId w:val="4"/>
              </w:numPr>
              <w:rPr>
                <w:sz w:val="20"/>
              </w:rPr>
            </w:pPr>
            <w:r>
              <w:rPr>
                <w:sz w:val="20"/>
              </w:rPr>
              <w:t>Ustawa z dnia 26 czerwca 1974r. Kodeks pracy</w:t>
            </w:r>
          </w:p>
          <w:p w14:paraId="2F330FA2" w14:textId="77777777" w:rsidR="00A61E8D" w:rsidRDefault="00A61E8D" w:rsidP="00A61E8D">
            <w:pPr>
              <w:numPr>
                <w:ilvl w:val="0"/>
                <w:numId w:val="4"/>
              </w:numPr>
              <w:rPr>
                <w:sz w:val="20"/>
              </w:rPr>
            </w:pPr>
            <w:r>
              <w:rPr>
                <w:sz w:val="20"/>
              </w:rPr>
              <w:t xml:space="preserve">Ustawa z dnia 13 października 1998r. </w:t>
            </w:r>
            <w:r>
              <w:rPr>
                <w:sz w:val="20"/>
              </w:rPr>
              <w:br/>
              <w:t>o systemie ubezpieczeń społecznych</w:t>
            </w:r>
          </w:p>
          <w:p w14:paraId="54EB7D49" w14:textId="77777777" w:rsidR="00A61E8D" w:rsidRDefault="00A61E8D" w:rsidP="00A61E8D">
            <w:pPr>
              <w:numPr>
                <w:ilvl w:val="0"/>
                <w:numId w:val="4"/>
              </w:numPr>
              <w:rPr>
                <w:sz w:val="20"/>
              </w:rPr>
            </w:pPr>
            <w:r>
              <w:rPr>
                <w:sz w:val="20"/>
              </w:rPr>
              <w:lastRenderedPageBreak/>
              <w:t xml:space="preserve">Ustawa z dnia 21 listopada 2008r. </w:t>
            </w:r>
            <w:r>
              <w:rPr>
                <w:sz w:val="20"/>
              </w:rPr>
              <w:br/>
              <w:t>o pracownikach samorządowych</w:t>
            </w:r>
          </w:p>
          <w:p w14:paraId="693245A4" w14:textId="77777777" w:rsidR="00A61E8D" w:rsidRDefault="00A61E8D" w:rsidP="00CC7F6B">
            <w:pPr>
              <w:rPr>
                <w:sz w:val="20"/>
              </w:rPr>
            </w:pPr>
          </w:p>
          <w:p w14:paraId="48A6828A" w14:textId="77777777" w:rsidR="00A61E8D" w:rsidRDefault="00A61E8D" w:rsidP="00CC7F6B">
            <w:pPr>
              <w:rPr>
                <w:sz w:val="20"/>
              </w:rPr>
            </w:pPr>
          </w:p>
          <w:p w14:paraId="36EAB96E" w14:textId="77777777" w:rsidR="00A61E8D" w:rsidRDefault="00A61E8D" w:rsidP="00A61E8D">
            <w:pPr>
              <w:numPr>
                <w:ilvl w:val="0"/>
                <w:numId w:val="4"/>
              </w:numPr>
              <w:rPr>
                <w:sz w:val="20"/>
              </w:rPr>
            </w:pPr>
            <w:r>
              <w:rPr>
                <w:sz w:val="20"/>
              </w:rPr>
              <w:t xml:space="preserve">Ustawa z dnia 27 sierpnia 2004r. </w:t>
            </w:r>
            <w:r>
              <w:rPr>
                <w:sz w:val="20"/>
              </w:rPr>
              <w:br/>
              <w:t>o świadczeniach opieki zdrowotnej finansowanych ze środków publicznych</w:t>
            </w:r>
          </w:p>
          <w:p w14:paraId="65D88DDF" w14:textId="77777777" w:rsidR="00A61E8D" w:rsidRDefault="00A61E8D" w:rsidP="00A61E8D">
            <w:pPr>
              <w:numPr>
                <w:ilvl w:val="0"/>
                <w:numId w:val="4"/>
              </w:numPr>
              <w:rPr>
                <w:sz w:val="20"/>
              </w:rPr>
            </w:pPr>
            <w:r>
              <w:rPr>
                <w:sz w:val="20"/>
              </w:rPr>
              <w:t xml:space="preserve">Ustawa z dnia 4 marca 1994r. </w:t>
            </w:r>
            <w:r>
              <w:rPr>
                <w:sz w:val="20"/>
              </w:rPr>
              <w:br/>
              <w:t>o zakładowym funduszu świadczeń socjalnych</w:t>
            </w:r>
          </w:p>
          <w:p w14:paraId="3FC786D8" w14:textId="77777777" w:rsidR="00A61E8D" w:rsidRDefault="00A61E8D" w:rsidP="00A61E8D">
            <w:pPr>
              <w:numPr>
                <w:ilvl w:val="0"/>
                <w:numId w:val="4"/>
              </w:numPr>
              <w:rPr>
                <w:sz w:val="20"/>
              </w:rPr>
            </w:pPr>
            <w:r>
              <w:rPr>
                <w:sz w:val="20"/>
              </w:rPr>
              <w:t>Ustawa z dnia 29 sierpnia 1997r. Ordynacja podatkowa</w:t>
            </w:r>
          </w:p>
          <w:p w14:paraId="648CD659" w14:textId="77777777" w:rsidR="00A61E8D" w:rsidRDefault="00A61E8D" w:rsidP="00A61E8D">
            <w:pPr>
              <w:numPr>
                <w:ilvl w:val="0"/>
                <w:numId w:val="4"/>
              </w:numPr>
              <w:rPr>
                <w:sz w:val="20"/>
              </w:rPr>
            </w:pPr>
            <w:r>
              <w:rPr>
                <w:sz w:val="20"/>
              </w:rPr>
              <w:t xml:space="preserve">Ustawa z dnia 26 lipca 1991r. </w:t>
            </w:r>
            <w:r>
              <w:rPr>
                <w:sz w:val="20"/>
              </w:rPr>
              <w:br/>
              <w:t>o podatku dochodowym od osób fizycznych</w:t>
            </w:r>
          </w:p>
          <w:p w14:paraId="0A07F1EC" w14:textId="77777777" w:rsidR="00A61E8D" w:rsidRDefault="00A61E8D" w:rsidP="00A61E8D">
            <w:pPr>
              <w:numPr>
                <w:ilvl w:val="0"/>
                <w:numId w:val="4"/>
              </w:numPr>
              <w:rPr>
                <w:sz w:val="20"/>
              </w:rPr>
            </w:pPr>
            <w:r>
              <w:rPr>
                <w:sz w:val="20"/>
              </w:rPr>
              <w:t>Zgoda osoby, której dane dotyczą</w:t>
            </w:r>
          </w:p>
        </w:tc>
        <w:tc>
          <w:tcPr>
            <w:tcW w:w="2258" w:type="dxa"/>
            <w:tcBorders>
              <w:top w:val="outset" w:sz="2" w:space="0" w:color="00000A"/>
              <w:left w:val="outset" w:sz="2" w:space="0" w:color="00000A"/>
              <w:bottom w:val="outset" w:sz="2" w:space="0" w:color="00000A"/>
              <w:right w:val="outset" w:sz="2" w:space="0" w:color="00000A"/>
            </w:tcBorders>
          </w:tcPr>
          <w:p w14:paraId="6DD89930" w14:textId="77777777" w:rsidR="00A61E8D" w:rsidRDefault="00A61E8D" w:rsidP="00CC7F6B">
            <w:pPr>
              <w:rPr>
                <w:sz w:val="20"/>
              </w:rPr>
            </w:pPr>
            <w:r>
              <w:rPr>
                <w:sz w:val="20"/>
              </w:rPr>
              <w:lastRenderedPageBreak/>
              <w:t> </w:t>
            </w:r>
          </w:p>
          <w:p w14:paraId="2979B7F5" w14:textId="77777777" w:rsidR="00A61E8D" w:rsidRDefault="00A61E8D" w:rsidP="00CC7F6B">
            <w:pPr>
              <w:rPr>
                <w:sz w:val="20"/>
              </w:rPr>
            </w:pPr>
            <w:r>
              <w:rPr>
                <w:sz w:val="20"/>
              </w:rPr>
              <w:t xml:space="preserve">do 50 lat w zależności od kategorii sprawy (Ustawa z dnia 14 lipca 1983 r. o narodowym zasobie archiwalnym </w:t>
            </w:r>
            <w:r>
              <w:rPr>
                <w:sz w:val="20"/>
              </w:rPr>
              <w:br/>
            </w:r>
            <w:r>
              <w:rPr>
                <w:sz w:val="20"/>
              </w:rPr>
              <w:lastRenderedPageBreak/>
              <w:t>i archiwach) zgodnie z Jednolitym Rzeczowym Wykazem Akt</w:t>
            </w:r>
          </w:p>
        </w:tc>
      </w:tr>
      <w:tr w:rsidR="00A61E8D" w14:paraId="407817E0" w14:textId="77777777" w:rsidTr="00CC7F6B">
        <w:tc>
          <w:tcPr>
            <w:tcW w:w="2865" w:type="dxa"/>
            <w:tcBorders>
              <w:top w:val="outset" w:sz="2" w:space="0" w:color="00000A"/>
              <w:left w:val="outset" w:sz="2" w:space="0" w:color="00000A"/>
              <w:bottom w:val="outset" w:sz="2" w:space="0" w:color="00000A"/>
              <w:right w:val="outset" w:sz="2" w:space="0" w:color="00000A"/>
            </w:tcBorders>
            <w:vAlign w:val="center"/>
          </w:tcPr>
          <w:p w14:paraId="488E64F1" w14:textId="77777777" w:rsidR="00A61E8D" w:rsidRDefault="00A61E8D" w:rsidP="00CC7F6B">
            <w:pPr>
              <w:rPr>
                <w:sz w:val="20"/>
              </w:rPr>
            </w:pPr>
            <w:r>
              <w:rPr>
                <w:sz w:val="20"/>
              </w:rPr>
              <w:lastRenderedPageBreak/>
              <w:t>Rekrutacja pracowników</w:t>
            </w:r>
          </w:p>
        </w:tc>
        <w:tc>
          <w:tcPr>
            <w:tcW w:w="3907" w:type="dxa"/>
            <w:tcBorders>
              <w:top w:val="outset" w:sz="2" w:space="0" w:color="00000A"/>
              <w:left w:val="outset" w:sz="2" w:space="0" w:color="00000A"/>
              <w:bottom w:val="outset" w:sz="2" w:space="0" w:color="00000A"/>
              <w:right w:val="outset" w:sz="2" w:space="0" w:color="00000A"/>
            </w:tcBorders>
            <w:vAlign w:val="center"/>
          </w:tcPr>
          <w:p w14:paraId="19C33EF4" w14:textId="77777777" w:rsidR="00A61E8D" w:rsidRDefault="00A61E8D" w:rsidP="00A61E8D">
            <w:pPr>
              <w:numPr>
                <w:ilvl w:val="0"/>
                <w:numId w:val="5"/>
              </w:numPr>
              <w:rPr>
                <w:sz w:val="20"/>
              </w:rPr>
            </w:pPr>
            <w:r>
              <w:rPr>
                <w:sz w:val="20"/>
              </w:rPr>
              <w:t>Ustawa z dnia 26 czerwca 1974r. Kodeks pracy</w:t>
            </w:r>
          </w:p>
          <w:p w14:paraId="7252E277" w14:textId="77777777" w:rsidR="00A61E8D" w:rsidRDefault="00A61E8D" w:rsidP="00A61E8D">
            <w:pPr>
              <w:numPr>
                <w:ilvl w:val="0"/>
                <w:numId w:val="5"/>
              </w:numPr>
              <w:rPr>
                <w:sz w:val="20"/>
              </w:rPr>
            </w:pPr>
            <w:r>
              <w:rPr>
                <w:sz w:val="20"/>
              </w:rPr>
              <w:t xml:space="preserve">Ustawa z dnia 21 listopada 2008r. </w:t>
            </w:r>
            <w:r>
              <w:rPr>
                <w:sz w:val="20"/>
              </w:rPr>
              <w:br/>
              <w:t>o pracownikach samorządowych</w:t>
            </w:r>
          </w:p>
          <w:p w14:paraId="70C6E889" w14:textId="77777777" w:rsidR="00A61E8D" w:rsidRDefault="00A61E8D" w:rsidP="00A61E8D">
            <w:pPr>
              <w:numPr>
                <w:ilvl w:val="0"/>
                <w:numId w:val="5"/>
              </w:numPr>
              <w:rPr>
                <w:sz w:val="20"/>
              </w:rPr>
            </w:pPr>
            <w:r>
              <w:rPr>
                <w:sz w:val="20"/>
              </w:rPr>
              <w:t>Zgoda osoby, której dane dotyczą</w:t>
            </w:r>
          </w:p>
        </w:tc>
        <w:tc>
          <w:tcPr>
            <w:tcW w:w="2258" w:type="dxa"/>
            <w:tcBorders>
              <w:top w:val="outset" w:sz="2" w:space="0" w:color="00000A"/>
              <w:left w:val="outset" w:sz="2" w:space="0" w:color="00000A"/>
              <w:bottom w:val="outset" w:sz="2" w:space="0" w:color="00000A"/>
              <w:right w:val="outset" w:sz="2" w:space="0" w:color="00000A"/>
            </w:tcBorders>
          </w:tcPr>
          <w:p w14:paraId="19D3D2F9" w14:textId="77777777" w:rsidR="00A61E8D" w:rsidRDefault="00A61E8D" w:rsidP="00CC7F6B">
            <w:pPr>
              <w:rPr>
                <w:sz w:val="20"/>
              </w:rPr>
            </w:pPr>
            <w:r>
              <w:rPr>
                <w:sz w:val="20"/>
              </w:rPr>
              <w:t> </w:t>
            </w:r>
          </w:p>
          <w:p w14:paraId="6E515007" w14:textId="77777777" w:rsidR="00A61E8D" w:rsidRDefault="00A61E8D" w:rsidP="00CC7F6B">
            <w:pPr>
              <w:rPr>
                <w:sz w:val="20"/>
              </w:rPr>
            </w:pPr>
            <w:r>
              <w:rPr>
                <w:sz w:val="20"/>
              </w:rPr>
              <w:t>Zgodnie z Jednolitym Rzeczowym Wykazem Akt</w:t>
            </w:r>
          </w:p>
        </w:tc>
      </w:tr>
      <w:tr w:rsidR="00A61E8D" w14:paraId="57CBC146" w14:textId="77777777" w:rsidTr="00CC7F6B">
        <w:tc>
          <w:tcPr>
            <w:tcW w:w="2865" w:type="dxa"/>
            <w:tcBorders>
              <w:top w:val="outset" w:sz="2" w:space="0" w:color="00000A"/>
              <w:left w:val="outset" w:sz="2" w:space="0" w:color="00000A"/>
              <w:bottom w:val="outset" w:sz="2" w:space="0" w:color="00000A"/>
              <w:right w:val="outset" w:sz="2" w:space="0" w:color="00000A"/>
            </w:tcBorders>
            <w:vAlign w:val="center"/>
          </w:tcPr>
          <w:p w14:paraId="5A38C59D" w14:textId="77777777" w:rsidR="00A61E8D" w:rsidRDefault="00A61E8D" w:rsidP="00CC7F6B">
            <w:pPr>
              <w:rPr>
                <w:sz w:val="20"/>
              </w:rPr>
            </w:pPr>
            <w:r>
              <w:rPr>
                <w:sz w:val="20"/>
              </w:rPr>
              <w:t>Realizacja zgłoszonej w urzędzie krajowej oferty pracy, zawarcie umowy na podstawie złożonego wniosku o zorganizowanie np. stażu, prac interwencyjnych, robót publicznych, refundacji doposażenia/wyposażenia stanowiska pracy dla skierowanego bezrobotnego, prac społecznie użytecznych lub innych instrumentów rynku pracy</w:t>
            </w:r>
          </w:p>
        </w:tc>
        <w:tc>
          <w:tcPr>
            <w:tcW w:w="3907" w:type="dxa"/>
            <w:tcBorders>
              <w:top w:val="outset" w:sz="2" w:space="0" w:color="00000A"/>
              <w:left w:val="outset" w:sz="2" w:space="0" w:color="00000A"/>
              <w:bottom w:val="outset" w:sz="2" w:space="0" w:color="00000A"/>
              <w:right w:val="outset" w:sz="2" w:space="0" w:color="00000A"/>
            </w:tcBorders>
            <w:vAlign w:val="center"/>
          </w:tcPr>
          <w:p w14:paraId="4F01FEB0" w14:textId="77777777" w:rsidR="00A61E8D" w:rsidRDefault="00A61E8D" w:rsidP="00A61E8D">
            <w:pPr>
              <w:numPr>
                <w:ilvl w:val="0"/>
                <w:numId w:val="6"/>
              </w:numPr>
              <w:rPr>
                <w:sz w:val="20"/>
              </w:rPr>
            </w:pPr>
            <w:r>
              <w:rPr>
                <w:sz w:val="20"/>
              </w:rPr>
              <w:t xml:space="preserve">Ustawa z dnia 20 kwietnia 2004r. </w:t>
            </w:r>
            <w:r>
              <w:rPr>
                <w:sz w:val="20"/>
              </w:rPr>
              <w:br/>
              <w:t>o promocji zatrudnienia i instytucjach rynku pracy oraz rozporządzenia do ustawy</w:t>
            </w:r>
          </w:p>
        </w:tc>
        <w:tc>
          <w:tcPr>
            <w:tcW w:w="2258" w:type="dxa"/>
            <w:tcBorders>
              <w:top w:val="outset" w:sz="2" w:space="0" w:color="00000A"/>
              <w:left w:val="outset" w:sz="2" w:space="0" w:color="00000A"/>
              <w:bottom w:val="outset" w:sz="2" w:space="0" w:color="00000A"/>
              <w:right w:val="outset" w:sz="2" w:space="0" w:color="00000A"/>
            </w:tcBorders>
          </w:tcPr>
          <w:p w14:paraId="1A9479EF" w14:textId="77777777" w:rsidR="00A61E8D" w:rsidRDefault="00A61E8D" w:rsidP="00CC7F6B">
            <w:pPr>
              <w:rPr>
                <w:sz w:val="20"/>
              </w:rPr>
            </w:pPr>
            <w:r>
              <w:rPr>
                <w:sz w:val="20"/>
              </w:rPr>
              <w:t> </w:t>
            </w:r>
          </w:p>
          <w:p w14:paraId="4D16910D" w14:textId="77777777" w:rsidR="00A61E8D" w:rsidRDefault="00A61E8D" w:rsidP="00CC7F6B">
            <w:pPr>
              <w:rPr>
                <w:sz w:val="20"/>
              </w:rPr>
            </w:pPr>
            <w:r>
              <w:rPr>
                <w:sz w:val="20"/>
              </w:rPr>
              <w:t> </w:t>
            </w:r>
          </w:p>
          <w:p w14:paraId="75C787A5" w14:textId="77777777" w:rsidR="00A61E8D" w:rsidRDefault="00A61E8D" w:rsidP="00CC7F6B">
            <w:pPr>
              <w:rPr>
                <w:sz w:val="20"/>
              </w:rPr>
            </w:pPr>
            <w:r>
              <w:rPr>
                <w:sz w:val="20"/>
              </w:rPr>
              <w:t> </w:t>
            </w:r>
          </w:p>
          <w:p w14:paraId="02ABC2AD" w14:textId="77777777" w:rsidR="00A61E8D" w:rsidRDefault="00A61E8D" w:rsidP="00CC7F6B">
            <w:pPr>
              <w:rPr>
                <w:sz w:val="20"/>
              </w:rPr>
            </w:pPr>
            <w:r>
              <w:rPr>
                <w:sz w:val="20"/>
              </w:rPr>
              <w:t> </w:t>
            </w:r>
          </w:p>
          <w:p w14:paraId="12581289" w14:textId="77777777" w:rsidR="00A61E8D" w:rsidRDefault="00A61E8D" w:rsidP="00CC7F6B">
            <w:pPr>
              <w:rPr>
                <w:sz w:val="20"/>
              </w:rPr>
            </w:pPr>
            <w:r>
              <w:rPr>
                <w:sz w:val="20"/>
              </w:rPr>
              <w:t>Zgodnie z Jednolitym Rzeczowym Wykazem Akt</w:t>
            </w:r>
          </w:p>
        </w:tc>
      </w:tr>
      <w:tr w:rsidR="00A61E8D" w14:paraId="4016C527" w14:textId="77777777" w:rsidTr="00CC7F6B">
        <w:tc>
          <w:tcPr>
            <w:tcW w:w="2865" w:type="dxa"/>
            <w:tcBorders>
              <w:top w:val="outset" w:sz="2" w:space="0" w:color="00000A"/>
              <w:left w:val="outset" w:sz="2" w:space="0" w:color="00000A"/>
              <w:bottom w:val="outset" w:sz="2" w:space="0" w:color="00000A"/>
              <w:right w:val="outset" w:sz="2" w:space="0" w:color="00000A"/>
            </w:tcBorders>
            <w:vAlign w:val="center"/>
          </w:tcPr>
          <w:p w14:paraId="3EC2916B" w14:textId="77777777" w:rsidR="00A61E8D" w:rsidRDefault="00A61E8D" w:rsidP="00CC7F6B">
            <w:pPr>
              <w:rPr>
                <w:sz w:val="20"/>
              </w:rPr>
            </w:pPr>
            <w:r>
              <w:rPr>
                <w:sz w:val="20"/>
              </w:rPr>
              <w:t>Zabezpieczenie zwrotu refundacji kosztów wyposażenia lub doposażenia stanowiska pracy lub dofinansowania jednorazowo środków na podjęcie działalności gospodarczej</w:t>
            </w:r>
          </w:p>
        </w:tc>
        <w:tc>
          <w:tcPr>
            <w:tcW w:w="3907" w:type="dxa"/>
            <w:tcBorders>
              <w:top w:val="outset" w:sz="2" w:space="0" w:color="00000A"/>
              <w:left w:val="outset" w:sz="2" w:space="0" w:color="00000A"/>
              <w:bottom w:val="outset" w:sz="2" w:space="0" w:color="00000A"/>
              <w:right w:val="outset" w:sz="2" w:space="0" w:color="00000A"/>
            </w:tcBorders>
            <w:vAlign w:val="center"/>
          </w:tcPr>
          <w:p w14:paraId="49517A6E" w14:textId="77777777" w:rsidR="00A61E8D" w:rsidRDefault="00A61E8D" w:rsidP="00A61E8D">
            <w:pPr>
              <w:numPr>
                <w:ilvl w:val="0"/>
                <w:numId w:val="7"/>
              </w:numPr>
              <w:rPr>
                <w:sz w:val="20"/>
              </w:rPr>
            </w:pPr>
            <w:r>
              <w:rPr>
                <w:sz w:val="20"/>
              </w:rPr>
              <w:t>Ustawa z dnia 20 kwietnia 2004r.</w:t>
            </w:r>
            <w:r>
              <w:rPr>
                <w:sz w:val="20"/>
              </w:rPr>
              <w:br/>
              <w:t xml:space="preserve"> o promocji zatrudnienia i instytucjach rynku pracy oraz rozporządzenia do Ustawa</w:t>
            </w:r>
          </w:p>
          <w:p w14:paraId="55D2AF84" w14:textId="77777777" w:rsidR="00A61E8D" w:rsidRDefault="00A61E8D" w:rsidP="00A61E8D">
            <w:pPr>
              <w:numPr>
                <w:ilvl w:val="0"/>
                <w:numId w:val="7"/>
              </w:numPr>
              <w:rPr>
                <w:sz w:val="20"/>
              </w:rPr>
            </w:pPr>
            <w:r>
              <w:rPr>
                <w:sz w:val="20"/>
              </w:rPr>
              <w:t>Ustawa z dnia 23 kwietnia 1964r. – Kodeks cywilny</w:t>
            </w:r>
          </w:p>
          <w:p w14:paraId="0EA447D4" w14:textId="77777777" w:rsidR="00A61E8D" w:rsidRDefault="00A61E8D" w:rsidP="00A61E8D">
            <w:pPr>
              <w:numPr>
                <w:ilvl w:val="0"/>
                <w:numId w:val="7"/>
              </w:numPr>
              <w:rPr>
                <w:sz w:val="20"/>
              </w:rPr>
            </w:pPr>
            <w:r>
              <w:rPr>
                <w:sz w:val="20"/>
              </w:rPr>
              <w:t>Zgoda osoby, której dane dotyczą</w:t>
            </w:r>
          </w:p>
        </w:tc>
        <w:tc>
          <w:tcPr>
            <w:tcW w:w="2258" w:type="dxa"/>
            <w:tcBorders>
              <w:top w:val="outset" w:sz="2" w:space="0" w:color="00000A"/>
              <w:left w:val="outset" w:sz="2" w:space="0" w:color="00000A"/>
              <w:bottom w:val="outset" w:sz="2" w:space="0" w:color="00000A"/>
              <w:right w:val="outset" w:sz="2" w:space="0" w:color="00000A"/>
            </w:tcBorders>
          </w:tcPr>
          <w:p w14:paraId="4F644092" w14:textId="77777777" w:rsidR="00A61E8D" w:rsidRDefault="00A61E8D" w:rsidP="00CC7F6B">
            <w:pPr>
              <w:rPr>
                <w:sz w:val="20"/>
              </w:rPr>
            </w:pPr>
            <w:r>
              <w:rPr>
                <w:sz w:val="20"/>
              </w:rPr>
              <w:t> </w:t>
            </w:r>
          </w:p>
          <w:p w14:paraId="540DEF7D" w14:textId="77777777" w:rsidR="00A61E8D" w:rsidRDefault="00A61E8D" w:rsidP="00CC7F6B">
            <w:pPr>
              <w:rPr>
                <w:sz w:val="20"/>
              </w:rPr>
            </w:pPr>
            <w:r>
              <w:rPr>
                <w:sz w:val="20"/>
              </w:rPr>
              <w:t> </w:t>
            </w:r>
          </w:p>
          <w:p w14:paraId="35A96F12" w14:textId="77777777" w:rsidR="00A61E8D" w:rsidRDefault="00A61E8D" w:rsidP="00CC7F6B">
            <w:pPr>
              <w:rPr>
                <w:sz w:val="20"/>
              </w:rPr>
            </w:pPr>
            <w:r>
              <w:rPr>
                <w:sz w:val="20"/>
              </w:rPr>
              <w:t>10 lat</w:t>
            </w:r>
          </w:p>
        </w:tc>
      </w:tr>
      <w:tr w:rsidR="00A61E8D" w14:paraId="1693F2A9" w14:textId="77777777" w:rsidTr="00CC7F6B">
        <w:tc>
          <w:tcPr>
            <w:tcW w:w="2865" w:type="dxa"/>
            <w:tcBorders>
              <w:top w:val="outset" w:sz="2" w:space="0" w:color="00000A"/>
              <w:left w:val="outset" w:sz="2" w:space="0" w:color="00000A"/>
              <w:bottom w:val="outset" w:sz="2" w:space="0" w:color="00000A"/>
              <w:right w:val="outset" w:sz="2" w:space="0" w:color="00000A"/>
            </w:tcBorders>
            <w:vAlign w:val="center"/>
          </w:tcPr>
          <w:p w14:paraId="44964B2D" w14:textId="77777777" w:rsidR="00A61E8D" w:rsidRDefault="00A61E8D" w:rsidP="00CC7F6B">
            <w:pPr>
              <w:rPr>
                <w:sz w:val="20"/>
              </w:rPr>
            </w:pPr>
            <w:r>
              <w:rPr>
                <w:sz w:val="20"/>
              </w:rPr>
              <w:t xml:space="preserve">Realizacja zadań ustawowych </w:t>
            </w:r>
            <w:r>
              <w:rPr>
                <w:sz w:val="20"/>
              </w:rPr>
              <w:br/>
              <w:t>w zakresie funkcjonowania Powiatowej Rady Rynku Pracy jako organu opiniodawczo – doradczego Starosty</w:t>
            </w:r>
          </w:p>
        </w:tc>
        <w:tc>
          <w:tcPr>
            <w:tcW w:w="3907" w:type="dxa"/>
            <w:tcBorders>
              <w:top w:val="outset" w:sz="2" w:space="0" w:color="00000A"/>
              <w:left w:val="outset" w:sz="2" w:space="0" w:color="00000A"/>
              <w:bottom w:val="outset" w:sz="2" w:space="0" w:color="00000A"/>
              <w:right w:val="outset" w:sz="2" w:space="0" w:color="00000A"/>
            </w:tcBorders>
            <w:vAlign w:val="center"/>
          </w:tcPr>
          <w:p w14:paraId="54CEC74D" w14:textId="77777777" w:rsidR="00A61E8D" w:rsidRDefault="00A61E8D" w:rsidP="00A61E8D">
            <w:pPr>
              <w:numPr>
                <w:ilvl w:val="0"/>
                <w:numId w:val="8"/>
              </w:numPr>
              <w:rPr>
                <w:sz w:val="20"/>
              </w:rPr>
            </w:pPr>
            <w:r>
              <w:rPr>
                <w:sz w:val="20"/>
              </w:rPr>
              <w:t xml:space="preserve">Ustawa z dnia 20 kwietnia 2004r. </w:t>
            </w:r>
            <w:r>
              <w:rPr>
                <w:sz w:val="20"/>
              </w:rPr>
              <w:br/>
              <w:t>o promocji zatrudnienia i instytucjach rynku pracy</w:t>
            </w:r>
          </w:p>
          <w:p w14:paraId="1BC0B987" w14:textId="77777777" w:rsidR="00A61E8D" w:rsidRDefault="00A61E8D" w:rsidP="00A61E8D">
            <w:pPr>
              <w:numPr>
                <w:ilvl w:val="0"/>
                <w:numId w:val="8"/>
              </w:numPr>
              <w:rPr>
                <w:sz w:val="20"/>
              </w:rPr>
            </w:pPr>
            <w:r>
              <w:rPr>
                <w:sz w:val="20"/>
              </w:rPr>
              <w:t>Zgoda osoby, której dane dotyczą</w:t>
            </w:r>
          </w:p>
        </w:tc>
        <w:tc>
          <w:tcPr>
            <w:tcW w:w="2258" w:type="dxa"/>
            <w:tcBorders>
              <w:top w:val="outset" w:sz="2" w:space="0" w:color="00000A"/>
              <w:left w:val="outset" w:sz="2" w:space="0" w:color="00000A"/>
              <w:bottom w:val="outset" w:sz="2" w:space="0" w:color="00000A"/>
              <w:right w:val="outset" w:sz="2" w:space="0" w:color="00000A"/>
            </w:tcBorders>
          </w:tcPr>
          <w:p w14:paraId="4B9A40BE" w14:textId="77777777" w:rsidR="00A61E8D" w:rsidRDefault="00A61E8D" w:rsidP="00CC7F6B">
            <w:pPr>
              <w:rPr>
                <w:sz w:val="20"/>
              </w:rPr>
            </w:pPr>
            <w:r>
              <w:rPr>
                <w:sz w:val="20"/>
              </w:rPr>
              <w:t> </w:t>
            </w:r>
          </w:p>
          <w:p w14:paraId="77B2848C" w14:textId="77777777" w:rsidR="00A61E8D" w:rsidRDefault="00A61E8D" w:rsidP="00CC7F6B">
            <w:pPr>
              <w:rPr>
                <w:sz w:val="20"/>
              </w:rPr>
            </w:pPr>
            <w:r>
              <w:rPr>
                <w:sz w:val="20"/>
              </w:rPr>
              <w:t>Zgodnie z Jednolitym Rzeczowym Wykazem Akt</w:t>
            </w:r>
          </w:p>
        </w:tc>
      </w:tr>
    </w:tbl>
    <w:p w14:paraId="44D1045A" w14:textId="77777777" w:rsidR="00A61E8D" w:rsidRDefault="00A61E8D" w:rsidP="00A61E8D"/>
    <w:p w14:paraId="21A0CB10" w14:textId="77777777" w:rsidR="00A61E8D" w:rsidRDefault="00A61E8D" w:rsidP="00A61E8D">
      <w:pPr>
        <w:numPr>
          <w:ilvl w:val="0"/>
          <w:numId w:val="9"/>
        </w:numPr>
        <w:jc w:val="both"/>
        <w:rPr>
          <w:sz w:val="20"/>
        </w:rPr>
      </w:pPr>
      <w:r>
        <w:rPr>
          <w:sz w:val="20"/>
        </w:rPr>
        <w:lastRenderedPageBreak/>
        <w:t>Mają Państwo prawo wniesienia skargi do organu nadzorczego tj. Prezesa Urzędu Ochrony Danych Osobowych, gdy uznają Państwo, iż przetwarzanie danych osobowych Państwa dotyczących narusza przepisy prawa.</w:t>
      </w:r>
    </w:p>
    <w:p w14:paraId="309ADA8A" w14:textId="77777777" w:rsidR="00A61E8D" w:rsidRDefault="00A61E8D" w:rsidP="00A61E8D">
      <w:pPr>
        <w:numPr>
          <w:ilvl w:val="0"/>
          <w:numId w:val="9"/>
        </w:numPr>
        <w:jc w:val="both"/>
        <w:rPr>
          <w:sz w:val="20"/>
        </w:rPr>
      </w:pPr>
      <w:r>
        <w:rPr>
          <w:sz w:val="20"/>
        </w:rPr>
        <w:t xml:space="preserve">Podanie przez Państwa danych osobowych jest dobrowolne, ale konieczne dla celów przedstawionych </w:t>
      </w:r>
      <w:r>
        <w:rPr>
          <w:sz w:val="20"/>
        </w:rPr>
        <w:br/>
        <w:t>w tabeli za wyjątkiem celów wynikających z przepisów prawa, gdzie podanie danych jest obowiązkowe. Niepodanie danych osobowych będzie skutkowało nie zrealizowaniem celu, dla którego miały być przetwarzane.</w:t>
      </w:r>
    </w:p>
    <w:p w14:paraId="3FBE9CAD" w14:textId="77777777" w:rsidR="00A61E8D" w:rsidRDefault="00A61E8D" w:rsidP="00A61E8D">
      <w:pPr>
        <w:numPr>
          <w:ilvl w:val="0"/>
          <w:numId w:val="9"/>
        </w:numPr>
        <w:jc w:val="both"/>
        <w:rPr>
          <w:sz w:val="20"/>
        </w:rPr>
      </w:pPr>
      <w:r>
        <w:rPr>
          <w:sz w:val="20"/>
        </w:rPr>
        <w:t xml:space="preserve">Państwa dane nie będą podlegać zautomatyzowanemu podejmowaniu decyzji o promocji zatrudnienia </w:t>
      </w:r>
      <w:r>
        <w:rPr>
          <w:sz w:val="20"/>
        </w:rPr>
        <w:br/>
        <w:t xml:space="preserve">i instytucjach rynku pracy, którymi może objąć go urząd pracy </w:t>
      </w:r>
      <w:r>
        <w:rPr>
          <w:sz w:val="20"/>
        </w:rPr>
        <w:br/>
        <w:t>w ramach realizacji indywidualnego planu działania, m.in. pośrednictwa pracy, poradnictwa zawodowego, szkoleń, finansowania i dotowania różnego rodzaju działań realizowanych na rzecz bezrobotnych.</w:t>
      </w:r>
    </w:p>
    <w:p w14:paraId="0E8D69B3" w14:textId="77777777" w:rsidR="00A61E8D" w:rsidRDefault="00A61E8D" w:rsidP="00A61E8D">
      <w:pPr>
        <w:numPr>
          <w:ilvl w:val="0"/>
          <w:numId w:val="9"/>
        </w:numPr>
        <w:jc w:val="both"/>
        <w:rPr>
          <w:sz w:val="20"/>
        </w:rPr>
      </w:pPr>
      <w:r>
        <w:rPr>
          <w:sz w:val="20"/>
        </w:rPr>
        <w:t>Państwa dane nie będą przekazywane odbiorcom danych ani nie będą przekazywane do państwa trzeciego lub organizacji międzynarodowej z wyłączeniem sytuacji wynikających z przepisów prawa.</w:t>
      </w:r>
    </w:p>
    <w:p w14:paraId="621CAB20" w14:textId="77777777" w:rsidR="00A61E8D" w:rsidRDefault="00A61E8D" w:rsidP="00A61E8D">
      <w:pPr>
        <w:numPr>
          <w:ilvl w:val="0"/>
          <w:numId w:val="9"/>
        </w:numPr>
        <w:jc w:val="both"/>
        <w:rPr>
          <w:sz w:val="20"/>
        </w:rPr>
      </w:pPr>
      <w:r>
        <w:rPr>
          <w:sz w:val="20"/>
        </w:rPr>
        <w:t>W zakresie przetwarzania danych osobowych posiadają Państwo następujące prawa:</w:t>
      </w:r>
    </w:p>
    <w:p w14:paraId="00DDE630" w14:textId="77777777" w:rsidR="00A61E8D" w:rsidRDefault="00A61E8D" w:rsidP="00A61E8D">
      <w:pPr>
        <w:numPr>
          <w:ilvl w:val="0"/>
          <w:numId w:val="10"/>
        </w:numPr>
        <w:jc w:val="both"/>
      </w:pPr>
      <w:r>
        <w:rPr>
          <w:b/>
          <w:bCs/>
          <w:sz w:val="20"/>
        </w:rPr>
        <w:t>dostępu do treści swoich danych</w:t>
      </w:r>
      <w:r>
        <w:rPr>
          <w:sz w:val="20"/>
        </w:rPr>
        <w:t xml:space="preserve"> – korzystając z tego prawa mają Państwo możliwość pozyskania informacji, jakie dane, w jaki sposób i w jakim celu są przetwarzane,</w:t>
      </w:r>
    </w:p>
    <w:p w14:paraId="5BD460B4" w14:textId="77777777" w:rsidR="00A61E8D" w:rsidRDefault="00A61E8D" w:rsidP="00A61E8D">
      <w:pPr>
        <w:numPr>
          <w:ilvl w:val="0"/>
          <w:numId w:val="10"/>
        </w:numPr>
        <w:jc w:val="both"/>
      </w:pPr>
      <w:r>
        <w:rPr>
          <w:b/>
          <w:bCs/>
          <w:sz w:val="20"/>
        </w:rPr>
        <w:t>prawo ich sprostowania</w:t>
      </w:r>
      <w:r>
        <w:rPr>
          <w:sz w:val="20"/>
        </w:rPr>
        <w:t xml:space="preserve"> – korzystając z tego prawa mogą Państwo zgłosić do nas konieczność poprawienia niepoprawnych danych lub uzupełnienia danych wynikających z błędu przy zbieraniu, czy przetwarzaniu danych,</w:t>
      </w:r>
    </w:p>
    <w:p w14:paraId="7D8ECC1B" w14:textId="77777777" w:rsidR="00A61E8D" w:rsidRDefault="00A61E8D" w:rsidP="00A61E8D">
      <w:pPr>
        <w:numPr>
          <w:ilvl w:val="0"/>
          <w:numId w:val="10"/>
        </w:numPr>
        <w:jc w:val="both"/>
      </w:pPr>
      <w:r>
        <w:rPr>
          <w:b/>
          <w:bCs/>
          <w:sz w:val="20"/>
        </w:rPr>
        <w:t>prawo do usunięcia</w:t>
      </w:r>
      <w:r>
        <w:rPr>
          <w:sz w:val="20"/>
        </w:rPr>
        <w:t xml:space="preserve"> - korzystając z tego prawa mogą Państwo złożyć wniosek o usunięcie danych. </w:t>
      </w:r>
      <w:r>
        <w:rPr>
          <w:sz w:val="20"/>
        </w:rPr>
        <w:br/>
        <w:t>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6A3910A2" w14:textId="77777777" w:rsidR="00A61E8D" w:rsidRDefault="00A61E8D" w:rsidP="00A61E8D">
      <w:pPr>
        <w:numPr>
          <w:ilvl w:val="0"/>
          <w:numId w:val="10"/>
        </w:numPr>
        <w:jc w:val="both"/>
      </w:pPr>
      <w:r>
        <w:rPr>
          <w:b/>
          <w:bCs/>
          <w:sz w:val="20"/>
        </w:rPr>
        <w:t>prawo do ograniczenia przetwarzania</w:t>
      </w:r>
      <w:r>
        <w:rPr>
          <w:sz w:val="20"/>
        </w:rPr>
        <w:t xml:space="preserve"> - korzystając z tego prawa mogą Państwo złożyć wniosek</w:t>
      </w:r>
      <w:r>
        <w:rPr>
          <w:sz w:val="20"/>
        </w:rPr>
        <w:br/>
        <w:t>o ograniczenie przetwarzania danych, w razie kwestionowania prawidłowość przetwarzanych danych.</w:t>
      </w:r>
      <w:r>
        <w:rPr>
          <w:sz w:val="20"/>
        </w:rPr>
        <w:br/>
        <w:t>W przypadku zasadności wniosku możemy dane jedynie przechowywać. Odblokowanie przetwarzania może odbyć się po ustaniu przesłanek uzasadniających ograniczenie przetwarzania.</w:t>
      </w:r>
    </w:p>
    <w:p w14:paraId="2A3FF530" w14:textId="77777777" w:rsidR="00A61E8D" w:rsidRDefault="00A61E8D" w:rsidP="00A61E8D">
      <w:pPr>
        <w:numPr>
          <w:ilvl w:val="0"/>
          <w:numId w:val="10"/>
        </w:numPr>
        <w:jc w:val="both"/>
      </w:pPr>
      <w:r>
        <w:rPr>
          <w:b/>
          <w:bCs/>
          <w:sz w:val="20"/>
        </w:rPr>
        <w:t>prawo do przenoszenia danych</w:t>
      </w:r>
      <w:r>
        <w:rPr>
          <w:sz w:val="20"/>
        </w:rPr>
        <w:t xml:space="preserve"> – ma zastosowanie jedynie w przypadkach jeżeli dane są przetwarzane na podstawie zgody i w sposób zautomatyzowany.</w:t>
      </w:r>
    </w:p>
    <w:p w14:paraId="72AE0036" w14:textId="77777777" w:rsidR="00A61E8D" w:rsidRDefault="00A61E8D" w:rsidP="00A61E8D">
      <w:pPr>
        <w:numPr>
          <w:ilvl w:val="0"/>
          <w:numId w:val="10"/>
        </w:numPr>
        <w:jc w:val="both"/>
      </w:pPr>
      <w:r>
        <w:rPr>
          <w:b/>
          <w:bCs/>
          <w:sz w:val="20"/>
        </w:rPr>
        <w:t>prawo wniesienia sprzeciwu</w:t>
      </w:r>
      <w:r>
        <w:rPr>
          <w:sz w:val="20"/>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w:t>
      </w:r>
      <w:r>
        <w:rPr>
          <w:sz w:val="20"/>
        </w:rPr>
        <w:br/>
        <w:t>i wolności lub podstawy do ustalenia, dochodzenia lub obrony roszczeń.</w:t>
      </w:r>
    </w:p>
    <w:p w14:paraId="184B064A" w14:textId="77777777" w:rsidR="00A61E8D" w:rsidRDefault="00A61E8D" w:rsidP="00A61E8D">
      <w:pPr>
        <w:numPr>
          <w:ilvl w:val="0"/>
          <w:numId w:val="10"/>
        </w:numPr>
        <w:jc w:val="both"/>
      </w:pPr>
      <w:r>
        <w:rPr>
          <w:b/>
          <w:bCs/>
          <w:sz w:val="20"/>
        </w:rPr>
        <w:t>prawo do cofnięcia zgody na ich przetwarzanie</w:t>
      </w:r>
      <w:r>
        <w:rPr>
          <w:sz w:val="20"/>
        </w:rPr>
        <w:t xml:space="preserve"> - w dowolnym momencie bez wpływu na zgodność</w:t>
      </w:r>
      <w:r>
        <w:rPr>
          <w:sz w:val="20"/>
        </w:rPr>
        <w:br/>
        <w:t>z prawem przetwarzania, w wypadku jeżeli przetwarzania którego dokonano na podstawie zgody wyrażonej przed jej cofnięciem.</w:t>
      </w:r>
    </w:p>
    <w:p w14:paraId="5EDBDD25" w14:textId="77777777" w:rsidR="00A61E8D" w:rsidRDefault="00A61E8D" w:rsidP="00A61E8D">
      <w:pPr>
        <w:rPr>
          <w:sz w:val="20"/>
        </w:rPr>
      </w:pPr>
    </w:p>
    <w:p w14:paraId="370F8E4F" w14:textId="22876FF0" w:rsidR="001A0923" w:rsidRDefault="001A0923" w:rsidP="00A61E8D">
      <w:pPr>
        <w:jc w:val="right"/>
      </w:pPr>
    </w:p>
    <w:sectPr w:rsidR="001A0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04AF4"/>
    <w:multiLevelType w:val="multilevel"/>
    <w:tmpl w:val="79A068CA"/>
    <w:lvl w:ilvl="0">
      <w:start w:val="1"/>
      <w:numFmt w:val="decimal"/>
      <w:lvlText w:val="%1."/>
      <w:lvlJc w:val="left"/>
      <w:pPr>
        <w:tabs>
          <w:tab w:val="num" w:pos="0"/>
        </w:tabs>
        <w:ind w:left="360" w:hanging="360"/>
      </w:pPr>
      <w:rPr>
        <w:rFonts w:cs="Times New Roman"/>
      </w:rPr>
    </w:lvl>
    <w:lvl w:ilvl="1">
      <w:start w:val="1"/>
      <w:numFmt w:val="bullet"/>
      <w:lvlText w:val="o"/>
      <w:lvlJc w:val="left"/>
      <w:pPr>
        <w:tabs>
          <w:tab w:val="num" w:pos="0"/>
        </w:tabs>
        <w:ind w:left="1080" w:hanging="360"/>
      </w:pPr>
      <w:rPr>
        <w:rFonts w:ascii="Courier New" w:hAnsi="Courier New" w:cs="Courier New" w:hint="default"/>
        <w:sz w:val="20"/>
      </w:rPr>
    </w:lvl>
    <w:lvl w:ilvl="2">
      <w:start w:val="1"/>
      <w:numFmt w:val="decimal"/>
      <w:lvlText w:val="%3."/>
      <w:lvlJc w:val="left"/>
      <w:pPr>
        <w:tabs>
          <w:tab w:val="num" w:pos="0"/>
        </w:tabs>
        <w:ind w:left="1800" w:hanging="360"/>
      </w:pPr>
      <w:rPr>
        <w:rFonts w:cs="Times New Roman"/>
      </w:rPr>
    </w:lvl>
    <w:lvl w:ilvl="3">
      <w:start w:val="1"/>
      <w:numFmt w:val="decimal"/>
      <w:lvlText w:val="%4."/>
      <w:lvlJc w:val="left"/>
      <w:pPr>
        <w:tabs>
          <w:tab w:val="num" w:pos="0"/>
        </w:tabs>
        <w:ind w:left="2520" w:hanging="360"/>
      </w:pPr>
      <w:rPr>
        <w:rFonts w:cs="Times New Roman"/>
      </w:rPr>
    </w:lvl>
    <w:lvl w:ilvl="4">
      <w:start w:val="1"/>
      <w:numFmt w:val="decimal"/>
      <w:lvlText w:val="%5."/>
      <w:lvlJc w:val="left"/>
      <w:pPr>
        <w:tabs>
          <w:tab w:val="num" w:pos="0"/>
        </w:tabs>
        <w:ind w:left="3240" w:hanging="360"/>
      </w:pPr>
      <w:rPr>
        <w:rFonts w:cs="Times New Roman"/>
      </w:rPr>
    </w:lvl>
    <w:lvl w:ilvl="5">
      <w:start w:val="1"/>
      <w:numFmt w:val="decimal"/>
      <w:lvlText w:val="%6."/>
      <w:lvlJc w:val="left"/>
      <w:pPr>
        <w:tabs>
          <w:tab w:val="num" w:pos="0"/>
        </w:tabs>
        <w:ind w:left="3960" w:hanging="360"/>
      </w:pPr>
      <w:rPr>
        <w:rFonts w:cs="Times New Roman"/>
      </w:rPr>
    </w:lvl>
    <w:lvl w:ilvl="6">
      <w:start w:val="1"/>
      <w:numFmt w:val="decimal"/>
      <w:lvlText w:val="%7."/>
      <w:lvlJc w:val="left"/>
      <w:pPr>
        <w:tabs>
          <w:tab w:val="num" w:pos="0"/>
        </w:tabs>
        <w:ind w:left="4680" w:hanging="360"/>
      </w:pPr>
      <w:rPr>
        <w:rFonts w:cs="Times New Roman"/>
      </w:rPr>
    </w:lvl>
    <w:lvl w:ilvl="7">
      <w:start w:val="1"/>
      <w:numFmt w:val="decimal"/>
      <w:lvlText w:val="%8."/>
      <w:lvlJc w:val="left"/>
      <w:pPr>
        <w:tabs>
          <w:tab w:val="num" w:pos="0"/>
        </w:tabs>
        <w:ind w:left="5400" w:hanging="360"/>
      </w:pPr>
      <w:rPr>
        <w:rFonts w:cs="Times New Roman"/>
      </w:rPr>
    </w:lvl>
    <w:lvl w:ilvl="8">
      <w:start w:val="1"/>
      <w:numFmt w:val="decimal"/>
      <w:lvlText w:val="%9."/>
      <w:lvlJc w:val="left"/>
      <w:pPr>
        <w:tabs>
          <w:tab w:val="num" w:pos="0"/>
        </w:tabs>
        <w:ind w:left="6120" w:hanging="360"/>
      </w:pPr>
      <w:rPr>
        <w:rFonts w:cs="Times New Roman"/>
      </w:rPr>
    </w:lvl>
  </w:abstractNum>
  <w:abstractNum w:abstractNumId="1" w15:restartNumberingAfterBreak="0">
    <w:nsid w:val="165B45AB"/>
    <w:multiLevelType w:val="multilevel"/>
    <w:tmpl w:val="D2C2F566"/>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2" w15:restartNumberingAfterBreak="0">
    <w:nsid w:val="202862F3"/>
    <w:multiLevelType w:val="multilevel"/>
    <w:tmpl w:val="8BCA3AB8"/>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3" w15:restartNumberingAfterBreak="0">
    <w:nsid w:val="3E476C5B"/>
    <w:multiLevelType w:val="multilevel"/>
    <w:tmpl w:val="3E20A514"/>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4" w15:restartNumberingAfterBreak="0">
    <w:nsid w:val="3E754544"/>
    <w:multiLevelType w:val="multilevel"/>
    <w:tmpl w:val="F454E9BC"/>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5" w15:restartNumberingAfterBreak="0">
    <w:nsid w:val="4F1A7133"/>
    <w:multiLevelType w:val="multilevel"/>
    <w:tmpl w:val="24E4B02E"/>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6" w15:restartNumberingAfterBreak="0">
    <w:nsid w:val="51016510"/>
    <w:multiLevelType w:val="multilevel"/>
    <w:tmpl w:val="B574D3F8"/>
    <w:lvl w:ilvl="0">
      <w:start w:val="1"/>
      <w:numFmt w:val="bullet"/>
      <w:lvlText w:val=""/>
      <w:lvlJc w:val="left"/>
      <w:pPr>
        <w:tabs>
          <w:tab w:val="num" w:pos="0"/>
        </w:tabs>
        <w:ind w:left="720" w:hanging="360"/>
      </w:pPr>
      <w:rPr>
        <w:rFonts w:ascii="Symbol" w:hAnsi="Symbol" w:cs="Symbol" w:hint="default"/>
        <w:sz w:val="18"/>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7" w15:restartNumberingAfterBreak="0">
    <w:nsid w:val="5174136E"/>
    <w:multiLevelType w:val="multilevel"/>
    <w:tmpl w:val="47D4FBD0"/>
    <w:lvl w:ilvl="0">
      <w:start w:val="4"/>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8" w15:restartNumberingAfterBreak="0">
    <w:nsid w:val="6E045F95"/>
    <w:multiLevelType w:val="multilevel"/>
    <w:tmpl w:val="2B9E90C0"/>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9" w15:restartNumberingAfterBreak="0">
    <w:nsid w:val="737F1094"/>
    <w:multiLevelType w:val="multilevel"/>
    <w:tmpl w:val="3EE2F8CA"/>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num w:numId="1" w16cid:durableId="1391805663">
    <w:abstractNumId w:val="0"/>
  </w:num>
  <w:num w:numId="2" w16cid:durableId="1447315093">
    <w:abstractNumId w:val="5"/>
  </w:num>
  <w:num w:numId="3" w16cid:durableId="2009281536">
    <w:abstractNumId w:val="2"/>
  </w:num>
  <w:num w:numId="4" w16cid:durableId="805508961">
    <w:abstractNumId w:val="3"/>
  </w:num>
  <w:num w:numId="5" w16cid:durableId="3748416">
    <w:abstractNumId w:val="8"/>
  </w:num>
  <w:num w:numId="6" w16cid:durableId="1874725045">
    <w:abstractNumId w:val="4"/>
  </w:num>
  <w:num w:numId="7" w16cid:durableId="338847485">
    <w:abstractNumId w:val="9"/>
  </w:num>
  <w:num w:numId="8" w16cid:durableId="1199927485">
    <w:abstractNumId w:val="1"/>
  </w:num>
  <w:num w:numId="9" w16cid:durableId="471875785">
    <w:abstractNumId w:val="7"/>
  </w:num>
  <w:num w:numId="10" w16cid:durableId="1750156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8D"/>
    <w:rsid w:val="001A0923"/>
    <w:rsid w:val="00350AF3"/>
    <w:rsid w:val="003B2DF5"/>
    <w:rsid w:val="004B7454"/>
    <w:rsid w:val="00A61E8D"/>
    <w:rsid w:val="00CF55DF"/>
    <w:rsid w:val="00EA3A16"/>
    <w:rsid w:val="00F846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2C01"/>
  <w15:chartTrackingRefBased/>
  <w15:docId w15:val="{0785B14D-FDE1-4932-80A5-8B0CCCDC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1E8D"/>
    <w:pPr>
      <w:suppressAutoHyphens/>
      <w:spacing w:line="240" w:lineRule="auto"/>
    </w:pPr>
    <w:rPr>
      <w:rFonts w:ascii="Calibri" w:eastAsia="Calibri" w:hAnsi="Calibri" w:cs="Calibri"/>
      <w:color w:val="00000A"/>
      <w:kern w:val="0"/>
    </w:rPr>
  </w:style>
  <w:style w:type="paragraph" w:styleId="Nagwek1">
    <w:name w:val="heading 1"/>
    <w:basedOn w:val="Normalny"/>
    <w:next w:val="Normalny"/>
    <w:link w:val="Nagwek1Znak"/>
    <w:uiPriority w:val="9"/>
    <w:qFormat/>
    <w:rsid w:val="00A61E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61E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61E8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61E8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61E8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61E8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61E8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61E8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61E8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61E8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61E8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61E8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61E8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61E8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61E8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61E8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61E8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61E8D"/>
    <w:rPr>
      <w:rFonts w:eastAsiaTheme="majorEastAsia" w:cstheme="majorBidi"/>
      <w:color w:val="272727" w:themeColor="text1" w:themeTint="D8"/>
    </w:rPr>
  </w:style>
  <w:style w:type="paragraph" w:styleId="Tytu">
    <w:name w:val="Title"/>
    <w:basedOn w:val="Normalny"/>
    <w:next w:val="Normalny"/>
    <w:link w:val="TytuZnak"/>
    <w:uiPriority w:val="10"/>
    <w:qFormat/>
    <w:rsid w:val="00A61E8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61E8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61E8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61E8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61E8D"/>
    <w:pPr>
      <w:spacing w:before="160"/>
      <w:jc w:val="center"/>
    </w:pPr>
    <w:rPr>
      <w:i/>
      <w:iCs/>
      <w:color w:val="404040" w:themeColor="text1" w:themeTint="BF"/>
    </w:rPr>
  </w:style>
  <w:style w:type="character" w:customStyle="1" w:styleId="CytatZnak">
    <w:name w:val="Cytat Znak"/>
    <w:basedOn w:val="Domylnaczcionkaakapitu"/>
    <w:link w:val="Cytat"/>
    <w:uiPriority w:val="29"/>
    <w:rsid w:val="00A61E8D"/>
    <w:rPr>
      <w:i/>
      <w:iCs/>
      <w:color w:val="404040" w:themeColor="text1" w:themeTint="BF"/>
    </w:rPr>
  </w:style>
  <w:style w:type="paragraph" w:styleId="Akapitzlist">
    <w:name w:val="List Paragraph"/>
    <w:basedOn w:val="Normalny"/>
    <w:uiPriority w:val="34"/>
    <w:qFormat/>
    <w:rsid w:val="00A61E8D"/>
    <w:pPr>
      <w:ind w:left="720"/>
      <w:contextualSpacing/>
    </w:pPr>
  </w:style>
  <w:style w:type="character" w:styleId="Wyrnienieintensywne">
    <w:name w:val="Intense Emphasis"/>
    <w:basedOn w:val="Domylnaczcionkaakapitu"/>
    <w:uiPriority w:val="21"/>
    <w:qFormat/>
    <w:rsid w:val="00A61E8D"/>
    <w:rPr>
      <w:i/>
      <w:iCs/>
      <w:color w:val="2F5496" w:themeColor="accent1" w:themeShade="BF"/>
    </w:rPr>
  </w:style>
  <w:style w:type="paragraph" w:styleId="Cytatintensywny">
    <w:name w:val="Intense Quote"/>
    <w:basedOn w:val="Normalny"/>
    <w:next w:val="Normalny"/>
    <w:link w:val="CytatintensywnyZnak"/>
    <w:uiPriority w:val="30"/>
    <w:qFormat/>
    <w:rsid w:val="00A61E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61E8D"/>
    <w:rPr>
      <w:i/>
      <w:iCs/>
      <w:color w:val="2F5496" w:themeColor="accent1" w:themeShade="BF"/>
    </w:rPr>
  </w:style>
  <w:style w:type="character" w:styleId="Odwoanieintensywne">
    <w:name w:val="Intense Reference"/>
    <w:basedOn w:val="Domylnaczcionkaakapitu"/>
    <w:uiPriority w:val="32"/>
    <w:qFormat/>
    <w:rsid w:val="00A61E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1163</Words>
  <Characters>6980</Characters>
  <Application>Microsoft Office Word</Application>
  <DocSecurity>0</DocSecurity>
  <Lines>58</Lines>
  <Paragraphs>16</Paragraphs>
  <ScaleCrop>false</ScaleCrop>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Czechowska</dc:creator>
  <cp:keywords/>
  <dc:description/>
  <cp:lastModifiedBy>Sabina Czechowska</cp:lastModifiedBy>
  <cp:revision>2</cp:revision>
  <dcterms:created xsi:type="dcterms:W3CDTF">2025-01-15T07:45:00Z</dcterms:created>
  <dcterms:modified xsi:type="dcterms:W3CDTF">2025-02-12T11:06:00Z</dcterms:modified>
</cp:coreProperties>
</file>